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bookmarkStart w:id="9" w:name="_GoBack"/>
      <w:r>
        <w:rPr>
          <w:rFonts w:ascii="Arial" w:hAnsi="Arial" w:cs="Arial"/>
          <w:b/>
          <w:bCs/>
          <w:highlight w:val="none"/>
        </w:rPr>
        <w:t>R4-2</w:t>
      </w:r>
      <w:bookmarkEnd w:id="0"/>
      <w:r>
        <w:rPr>
          <w:rFonts w:hint="eastAsia" w:ascii="Arial" w:hAnsi="Arial" w:cs="Arial"/>
          <w:b/>
          <w:bCs/>
          <w:highlight w:val="none"/>
          <w:lang w:val="en-US" w:eastAsia="zh-CN"/>
        </w:rPr>
        <w:t>601895</w:t>
      </w:r>
      <w:bookmarkEnd w:id="9"/>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Gothenburg, Sweden, Feb. 09-13, 202</w:t>
      </w:r>
      <w:r>
        <w:rPr>
          <w:rFonts w:hint="eastAsia" w:ascii="Arial" w:hAnsi="Arial" w:eastAsia="宋体" w:cs="Arial"/>
          <w:b/>
          <w:sz w:val="24"/>
          <w:szCs w:val="24"/>
          <w:lang w:eastAsia="zh-CN"/>
        </w:rPr>
        <w:t>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10.9.3</w:t>
      </w:r>
    </w:p>
    <w:p w14:paraId="050928FC">
      <w:pPr>
        <w:tabs>
          <w:tab w:val="left" w:pos="1765"/>
        </w:tabs>
        <w:rPr>
          <w:rFonts w:hint="default" w:eastAsiaTheme="minorEastAsia"/>
          <w:sz w:val="22"/>
          <w:highlight w:val="none"/>
          <w:lang w:val="en-US" w:eastAsia="zh-CN"/>
        </w:rPr>
      </w:pPr>
      <w:r>
        <w:rPr>
          <w:b/>
          <w:sz w:val="22"/>
          <w:highlight w:val="none"/>
        </w:rPr>
        <w:t xml:space="preserve">Source: </w:t>
      </w:r>
      <w:r>
        <w:rPr>
          <w:b/>
          <w:sz w:val="22"/>
          <w:highlight w:val="none"/>
        </w:rPr>
        <w:tab/>
      </w:r>
      <w:bookmarkStart w:id="1" w:name="_Hlk41145958"/>
      <w:r>
        <w:rPr>
          <w:sz w:val="22"/>
          <w:highlight w:val="none"/>
        </w:rPr>
        <w:t>CMC</w:t>
      </w:r>
      <w:bookmarkEnd w:id="1"/>
      <w:r>
        <w:rPr>
          <w:rFonts w:hint="eastAsia"/>
          <w:sz w:val="22"/>
          <w:highlight w:val="none"/>
          <w:lang w:val="en-US" w:eastAsia="zh-CN"/>
        </w:rPr>
        <w:t>C, Thales, Iridium, AST Space Mobile, Aalyria, MediaTek inc, Spreadtrum,UNISOC, CATT, Ericsson, vivo, ZTE Corporation, Sanechips, OPPO</w:t>
      </w:r>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eastAsia="zh-CN"/>
        </w:rPr>
        <w:t>Discussion on</w:t>
      </w:r>
      <w:r>
        <w:rPr>
          <w:rFonts w:hint="eastAsia"/>
          <w:sz w:val="22"/>
          <w:szCs w:val="22"/>
          <w:lang w:eastAsia="zh-CN"/>
        </w:rPr>
        <w:t xml:space="preserve"> introduction</w:t>
      </w:r>
      <w:r>
        <w:rPr>
          <w:rFonts w:hint="eastAsia"/>
          <w:sz w:val="22"/>
          <w:szCs w:val="22"/>
          <w:lang w:val="en-US" w:eastAsia="zh-CN"/>
        </w:rPr>
        <w:t xml:space="preserve"> of</w:t>
      </w:r>
      <w:r>
        <w:rPr>
          <w:rFonts w:hint="eastAsia"/>
          <w:sz w:val="22"/>
          <w:szCs w:val="22"/>
          <w:lang w:eastAsia="zh-CN"/>
        </w:rPr>
        <w:t xml:space="preserve"> </w:t>
      </w:r>
      <w:r>
        <w:rPr>
          <w:rFonts w:hint="eastAsia"/>
          <w:sz w:val="22"/>
          <w:szCs w:val="22"/>
          <w:lang w:val="en-US" w:eastAsia="zh-CN"/>
        </w:rPr>
        <w:t>handover related requirement between TN and NTN in RRC_CONNECTED</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88649B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The standardization work on Non-Terrestrial Networks (NTN) began in Release 17 [1]. Release 17 supports the RSRP based handover procedure and corresponding signaling between terrestrial networks (TN) and NTN, with the relevant specifications documented in TS 38.300. The pertinent text is reproduced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849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D0EA21F">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5" w:name="_Toc211015820"/>
            <w:r>
              <w:rPr>
                <w:rFonts w:ascii="Arial" w:hAnsi="Arial" w:eastAsia="Times New Roman" w:cs="Times New Roman"/>
                <w:sz w:val="24"/>
                <w:lang w:val="en-GB" w:eastAsia="zh-CN" w:bidi="ar-SA"/>
              </w:rPr>
              <w:t>16.14.3.2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Mobility in RRC_CONNECTED</w:t>
            </w:r>
            <w:bookmarkEnd w:id="5"/>
          </w:p>
          <w:p w14:paraId="623337C3">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6" w:name="_Toc211015821"/>
            <w:r>
              <w:rPr>
                <w:rFonts w:ascii="Arial" w:hAnsi="Arial" w:eastAsia="Times New Roman" w:cs="Times New Roman"/>
                <w:sz w:val="22"/>
                <w:lang w:val="en-GB" w:eastAsia="zh-CN" w:bidi="ar-SA"/>
              </w:rPr>
              <w:t>16.14.3.2.1</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Handover</w:t>
            </w:r>
            <w:bookmarkEnd w:id="6"/>
          </w:p>
          <w:p w14:paraId="15930C6E">
            <w:pPr>
              <w:overflowPunct w:val="0"/>
              <w:autoSpaceDE w:val="0"/>
              <w:autoSpaceDN w:val="0"/>
              <w:adjustRightInd w:val="0"/>
              <w:spacing w:after="180"/>
              <w:textAlignment w:val="baseline"/>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The same principle as described in 9.2.3.2 applies unless hereunder specified:</w:t>
            </w:r>
          </w:p>
          <w:p w14:paraId="16134B7E">
            <w:pPr>
              <w:overflowPunct w:val="0"/>
              <w:autoSpaceDE w:val="0"/>
              <w:autoSpaceDN w:val="0"/>
              <w:adjustRightInd w:val="0"/>
              <w:spacing w:after="180"/>
              <w:textAlignment w:val="baseline"/>
              <w:rPr>
                <w:rFonts w:ascii="Times New Roman" w:hAnsi="Times New Roman" w:eastAsia="Times New Roman" w:cs="Times New Roman"/>
                <w:sz w:val="20"/>
                <w:szCs w:val="20"/>
                <w:highlight w:val="green"/>
                <w:lang w:val="en-GB"/>
              </w:rPr>
            </w:pPr>
            <w:r>
              <w:rPr>
                <w:rFonts w:ascii="Times New Roman" w:hAnsi="Times New Roman" w:eastAsia="Times New Roman" w:cs="Times New Roman"/>
                <w:sz w:val="20"/>
                <w:szCs w:val="20"/>
                <w:highlight w:val="green"/>
                <w:lang w:val="en-GB"/>
              </w:rPr>
              <w:t>During mobility between NTN and Terrestrial Network (TN), a UE is not required to connect to both NTN and TN at the same time.</w:t>
            </w:r>
          </w:p>
          <w:p w14:paraId="247A5CAB">
            <w:pPr>
              <w:keepLines/>
              <w:overflowPunct w:val="0"/>
              <w:autoSpaceDE w:val="0"/>
              <w:autoSpaceDN w:val="0"/>
              <w:adjustRightInd w:val="0"/>
              <w:spacing w:after="180"/>
              <w:ind w:left="1135" w:hanging="851"/>
              <w:textAlignment w:val="baseline"/>
              <w:rPr>
                <w:rFonts w:ascii="Times New Roman" w:hAnsi="Times New Roman" w:eastAsia="Times New Roman" w:cs="Times New Roman"/>
                <w:sz w:val="20"/>
                <w:szCs w:val="20"/>
                <w:highlight w:val="green"/>
                <w:lang w:val="en-GB" w:eastAsia="zh-CN" w:bidi="ar-SA"/>
              </w:rPr>
            </w:pPr>
            <w:r>
              <w:rPr>
                <w:rFonts w:ascii="Times New Roman" w:hAnsi="Times New Roman" w:eastAsia="Times New Roman" w:cs="Times New Roman"/>
                <w:sz w:val="20"/>
                <w:szCs w:val="20"/>
                <w:highlight w:val="green"/>
                <w:lang w:val="en-GB" w:eastAsia="zh-CN" w:bidi="ar-SA"/>
              </w:rPr>
              <w:t>NOTE:</w:t>
            </w:r>
            <w:r>
              <w:rPr>
                <w:rFonts w:ascii="Times New Roman" w:hAnsi="Times New Roman" w:eastAsia="Times New Roman" w:cs="Times New Roman"/>
                <w:sz w:val="20"/>
                <w:szCs w:val="20"/>
                <w:highlight w:val="green"/>
                <w:lang w:val="en-GB" w:eastAsia="zh-CN" w:bidi="ar-SA"/>
              </w:rPr>
              <w:tab/>
            </w:r>
            <w:r>
              <w:rPr>
                <w:rFonts w:ascii="Times New Roman" w:hAnsi="Times New Roman" w:eastAsia="Times New Roman" w:cs="Times New Roman"/>
                <w:sz w:val="20"/>
                <w:szCs w:val="20"/>
                <w:highlight w:val="green"/>
                <w:lang w:val="en-GB" w:eastAsia="zh-CN" w:bidi="ar-SA"/>
              </w:rPr>
              <w:t>NTN TN handover refers to mobility in both directions, i.e. from NTN to TN (hand-in) and from TN to NTN (hand-out).</w:t>
            </w:r>
          </w:p>
          <w:p w14:paraId="56EA4688">
            <w:pPr>
              <w:overflowPunct w:val="0"/>
              <w:autoSpaceDE w:val="0"/>
              <w:autoSpaceDN w:val="0"/>
              <w:adjustRightInd w:val="0"/>
              <w:spacing w:after="180"/>
              <w:textAlignment w:val="baseline"/>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DAPS handover is not supported for NTN in this release of the specification.</w:t>
            </w:r>
          </w:p>
          <w:p w14:paraId="55D77860">
            <w:pPr>
              <w:overflowPunct w:val="0"/>
              <w:autoSpaceDE w:val="0"/>
              <w:autoSpaceDN w:val="0"/>
              <w:adjustRightInd w:val="0"/>
              <w:spacing w:after="180"/>
              <w:textAlignment w:val="baseline"/>
              <w:rPr>
                <w:rFonts w:hint="default"/>
                <w:sz w:val="20"/>
                <w:szCs w:val="20"/>
                <w:vertAlign w:val="baseline"/>
                <w:lang w:val="en-US" w:eastAsia="zh-CN"/>
              </w:rPr>
            </w:pPr>
            <w:r>
              <w:rPr>
                <w:rFonts w:ascii="Times New Roman" w:hAnsi="Times New Roman" w:eastAsia="Times New Roman" w:cs="Times New Roman"/>
                <w:sz w:val="20"/>
                <w:szCs w:val="20"/>
                <w:lang w:val="en-GB"/>
              </w:rPr>
              <w:t>UE may support mobility between gNBs operating with NTN payloads in different orbits (e.g., GSO, NGSO at different altitudes).</w:t>
            </w:r>
          </w:p>
        </w:tc>
      </w:tr>
    </w:tbl>
    <w:p w14:paraId="3CC6AD7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However, the handover requirement between TN and NTN in RRC_CONNECTED state have not yet been introduced in RAN4 specification.</w:t>
      </w:r>
    </w:p>
    <w:p w14:paraId="3B88416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this contribution, we first present the justification for enabling handover between TN and NTN scenarios, and then identify the necessary specification impacts.</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7" w:name="OLE_LINK1"/>
      <w:bookmarkStart w:id="8" w:name="OLE_LINK2"/>
      <w:r>
        <w:rPr>
          <w:rFonts w:hint="eastAsia" w:ascii="Times New Roman" w:hAnsi="Times New Roman"/>
          <w:b w:val="0"/>
          <w:bCs w:val="0"/>
          <w:kern w:val="0"/>
          <w:sz w:val="36"/>
          <w:szCs w:val="36"/>
          <w:lang w:val="en-US" w:eastAsia="zh-CN"/>
        </w:rPr>
        <w:t>Discussion</w:t>
      </w:r>
    </w:p>
    <w:p w14:paraId="15C439A7">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Justification</w:t>
      </w:r>
    </w:p>
    <w:p w14:paraId="0E6978A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As highlighted in green above, the following handover procedures between TN and NTN have been supported since Rel-17:</w:t>
      </w:r>
    </w:p>
    <w:p w14:paraId="55283C7E">
      <w:pPr>
        <w:keepNext w:val="0"/>
        <w:keepLines w:val="0"/>
        <w:pageBreakBefore w:val="0"/>
        <w:widowControl/>
        <w:numPr>
          <w:ilvl w:val="0"/>
          <w:numId w:val="4"/>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RSRP based NR FR1 TN to NR FR1-NTN NTN handover</w:t>
      </w:r>
    </w:p>
    <w:p w14:paraId="20ABAFE2">
      <w:pPr>
        <w:keepNext w:val="0"/>
        <w:keepLines w:val="0"/>
        <w:pageBreakBefore w:val="0"/>
        <w:widowControl/>
        <w:numPr>
          <w:ilvl w:val="0"/>
          <w:numId w:val="4"/>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RSRP based NR FR1-NTN NTN to NR FR1 TN handover</w:t>
      </w:r>
    </w:p>
    <w:p w14:paraId="1D9D618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Both TN-to-NTN and NTN-to-TN handover scenarios have strong deployment relevance in real-world applications. For example, during disasters such as earthquakes or floods, terrestrial base stations in affected areas may become inoperative.  For rescue personnel, handover from TN to NTN becomes essential to maintain service continuity. Once TN cells are restored, UEs in service accessible cells have a strong demand to handover back to TN network immediately, due to the constrained capacity and limited resource of NTN. Handover back to TN allows more NTN resources to be allocated to UEs in areas where the TN service still remains unavailable.</w:t>
      </w:r>
    </w:p>
    <w:p w14:paraId="109027B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lang w:val="en-US" w:eastAsia="zh-CN"/>
        </w:rPr>
        <w:t xml:space="preserve">  </w:t>
      </w:r>
      <w:r>
        <w:drawing>
          <wp:inline distT="0" distB="0" distL="114300" distR="114300">
            <wp:extent cx="2289810" cy="207708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2289810" cy="207708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248535" cy="2005330"/>
            <wp:effectExtent l="0" t="0" r="12065" b="1270"/>
            <wp:docPr id="3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
                    <pic:cNvPicPr>
                      <a:picLocks noChangeAspect="1"/>
                    </pic:cNvPicPr>
                  </pic:nvPicPr>
                  <pic:blipFill>
                    <a:blip r:embed="rId5"/>
                    <a:stretch>
                      <a:fillRect/>
                    </a:stretch>
                  </pic:blipFill>
                  <pic:spPr>
                    <a:xfrm>
                      <a:off x="0" y="0"/>
                      <a:ext cx="2248535" cy="2005330"/>
                    </a:xfrm>
                    <a:prstGeom prst="rect">
                      <a:avLst/>
                    </a:prstGeom>
                    <a:noFill/>
                    <a:ln>
                      <a:noFill/>
                    </a:ln>
                  </pic:spPr>
                </pic:pic>
              </a:graphicData>
            </a:graphic>
          </wp:inline>
        </w:drawing>
      </w:r>
    </w:p>
    <w:p w14:paraId="7E87594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The absence of handover related requirements between TN and NTN in RRC_CONNECTED would impede commercial deployment and application in such scenarios. Therefore, it is important and urgent for RAN4 to introduce the corresponding requirements.</w:t>
      </w:r>
    </w:p>
    <w:p w14:paraId="4775ADF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procedures and signalling for RSRP based NR FR1 TN-to-NTN handover and NR FR1 NTN-to-TN handover have been supported since Rel-17.</w:t>
      </w:r>
    </w:p>
    <w:p w14:paraId="2FDAA6F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2: There is strong commercial demand for NR FR1 TN-to-NTN handover and NR FR1 NTN-to-TN handover requirement to accelerate the NTN deployment and application.</w:t>
      </w:r>
    </w:p>
    <w:p w14:paraId="34A3BD7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To support RSRP based handover functionality, L3 measurement must first be performed. In case of TN to NTN handover, UE must first measure the NTN carrier. One necessary condition for this is that NTN neighbor cell configuration (i.e.</w:t>
      </w:r>
      <w:r>
        <w:rPr>
          <w:rFonts w:hint="eastAsia"/>
          <w:i/>
          <w:iCs/>
          <w:sz w:val="20"/>
          <w:szCs w:val="20"/>
          <w:lang w:val="en-US" w:eastAsia="zh-CN"/>
        </w:rPr>
        <w:t xml:space="preserve"> NTN-NeighCellConfig</w:t>
      </w:r>
      <w:r>
        <w:rPr>
          <w:rFonts w:hint="eastAsia"/>
          <w:sz w:val="20"/>
          <w:szCs w:val="20"/>
          <w:lang w:val="en-US" w:eastAsia="zh-CN"/>
        </w:rPr>
        <w:t xml:space="preserve">) can be configured to UE. This configuration becomes feasible from Rel-18 onward, where TN cell can broadcast SIB19, which includes the </w:t>
      </w:r>
      <w:r>
        <w:rPr>
          <w:rFonts w:hint="eastAsia"/>
          <w:i/>
          <w:iCs/>
          <w:sz w:val="20"/>
          <w:szCs w:val="20"/>
          <w:lang w:val="en-US" w:eastAsia="zh-CN"/>
        </w:rPr>
        <w:t>NTN-NeighCellConfig.</w:t>
      </w:r>
      <w:r>
        <w:rPr>
          <w:rFonts w:hint="eastAsia"/>
          <w:sz w:val="20"/>
          <w:szCs w:val="20"/>
          <w:lang w:val="en-US" w:eastAsia="zh-CN"/>
        </w:rPr>
        <w:t xml:space="preserve"> Therefore, we propose to introduce the handover related requirements between TN and NTN (both TN-to-NTN and NTN-to-TN) in RRC_CONNECTED from Rel-18.</w:t>
      </w:r>
    </w:p>
    <w:p w14:paraId="2124974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RAN4 to introduce the handover related requirements between TN and NTN (both TN-to-NTN and NTN-to-TN) in RRC_CONNECTED from Rel-18.</w:t>
      </w:r>
    </w:p>
    <w:p w14:paraId="4722B01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p>
    <w:p w14:paraId="2B3A219F">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Scenario</w:t>
      </w:r>
    </w:p>
    <w:p w14:paraId="7AA7AF8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For handover purpose, the carrier frequency of target network shall be measured. To focus on the foremost demand and limit the TEI scope, we propose to limit the L3 inter-frequency measurement to the target network carrier frequency, this can be achieved by network configuration implementation. For example:</w:t>
      </w:r>
    </w:p>
    <w:p w14:paraId="5A9E5243">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In TN-to-NTN handover case, except for serving cell carrier frequency measurement, the network would only configure MO(s) with NTN carrier frequency layer(s)</w:t>
      </w:r>
    </w:p>
    <w:p w14:paraId="2E28BFDF">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In NTN-to-TN handover case, except for serving cell carrier frequency measurement, the network would only configure MO(s) with TN carrier frequency layer(s)</w:t>
      </w:r>
    </w:p>
    <w:p w14:paraId="7AB2F37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the L3 measurement for handover purpose, limit the L3 inter-frequency measurement to the carrier frequency of target network, which can be achieved by network configuration implementation.</w:t>
      </w:r>
    </w:p>
    <w:p w14:paraId="2C9A81C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p>
    <w:p w14:paraId="08FF468C">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Requirement for NR FR1-NTN NTN to NR FR1 TN handover</w:t>
      </w:r>
    </w:p>
    <w:p w14:paraId="4641E58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Based on the above scope, the following requirements shall be defined for NR FR1-NTN NTN to NR FR1 TN handover:</w:t>
      </w:r>
    </w:p>
    <w:p w14:paraId="03B78FFE">
      <w:pPr>
        <w:keepNext w:val="0"/>
        <w:keepLines w:val="0"/>
        <w:pageBreakBefore w:val="0"/>
        <w:widowControl/>
        <w:numPr>
          <w:ilvl w:val="0"/>
          <w:numId w:val="4"/>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measurement requirement on TN carriers</w:t>
      </w:r>
    </w:p>
    <w:p w14:paraId="0159EEE1">
      <w:pPr>
        <w:keepNext w:val="0"/>
        <w:keepLines w:val="0"/>
        <w:pageBreakBefore w:val="0"/>
        <w:widowControl/>
        <w:numPr>
          <w:ilvl w:val="0"/>
          <w:numId w:val="4"/>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NR FR1-NTN NTN to NR FR1 TN handover requirement</w:t>
      </w:r>
    </w:p>
    <w:p w14:paraId="61935F9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Specifically,</w:t>
      </w:r>
    </w:p>
    <w:p w14:paraId="17591649">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 xml:space="preserve">For inter-frequency measurement on TN carriers, it is same with inter-frequency measurement in TN network, the NR FR1 inter-frequency measurements defined in 9.3 TS 38.133 can be reused. </w:t>
      </w:r>
    </w:p>
    <w:p w14:paraId="3CC42756">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For NR SAN FR1-NTN to NR FR1 handover, the framework is same with the inter-frequency NR FR1 - NR FR1, the corresponding requirement defined in 6.1.1.2 TS 38.133 can be reused.</w:t>
      </w:r>
    </w:p>
    <w:p w14:paraId="0578FFB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Introduce following requirements to support NTN to TN handover from Rel-18:</w:t>
      </w:r>
    </w:p>
    <w:p w14:paraId="442D4F3E">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Inter-frequency measurement on TN carriers</w:t>
      </w:r>
    </w:p>
    <w:p w14:paraId="1ECD352A">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Reuse the NR FR1 inter-frequency measurements requirement defined in 9.3 </w:t>
      </w:r>
      <w:r>
        <w:rPr>
          <w:rFonts w:hint="eastAsia"/>
          <w:b/>
          <w:bCs/>
          <w:i/>
          <w:iCs/>
          <w:sz w:val="20"/>
          <w:szCs w:val="20"/>
          <w:lang w:val="en-US" w:eastAsia="zh-CN"/>
        </w:rPr>
        <w:t>TS 38.133</w:t>
      </w:r>
    </w:p>
    <w:p w14:paraId="05EC69C6">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NR SAN FR1 to NR FR1 handover requirement</w:t>
      </w:r>
    </w:p>
    <w:p w14:paraId="1FA0AD03">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Reuse the inter-frequency NR FR1 - NR FR1 Handover requirement defined in 6.1.1.2</w:t>
      </w:r>
      <w:r>
        <w:rPr>
          <w:rFonts w:hint="eastAsia"/>
          <w:b/>
          <w:bCs/>
          <w:i/>
          <w:iCs/>
          <w:sz w:val="20"/>
          <w:szCs w:val="20"/>
          <w:lang w:val="en-US" w:eastAsia="zh-CN"/>
        </w:rPr>
        <w:t xml:space="preserve"> TS 38.133</w:t>
      </w:r>
    </w:p>
    <w:p w14:paraId="14043D06">
      <w:pPr>
        <w:rPr>
          <w:rFonts w:hint="default"/>
          <w:lang w:val="en-US" w:eastAsia="zh-CN"/>
        </w:rPr>
      </w:pPr>
    </w:p>
    <w:p w14:paraId="5FD70A69">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Requirement for NR FR1 TN to NR FR1 NTN handover</w:t>
      </w:r>
    </w:p>
    <w:p w14:paraId="7D8C3DE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Based on the above scope, the following requirements shall be defined for NR FR1 TN to NR FR1 NTN handover:</w:t>
      </w:r>
    </w:p>
    <w:p w14:paraId="160E1E78">
      <w:pPr>
        <w:keepNext w:val="0"/>
        <w:keepLines w:val="0"/>
        <w:pageBreakBefore w:val="0"/>
        <w:widowControl/>
        <w:numPr>
          <w:ilvl w:val="0"/>
          <w:numId w:val="4"/>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inter-frequency measurement requirement on NTN carriers</w:t>
      </w:r>
    </w:p>
    <w:p w14:paraId="7DB8F2E1">
      <w:pPr>
        <w:keepNext w:val="0"/>
        <w:keepLines w:val="0"/>
        <w:pageBreakBefore w:val="0"/>
        <w:widowControl/>
        <w:numPr>
          <w:ilvl w:val="0"/>
          <w:numId w:val="4"/>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NR FR1 TN to NR FR1 NTN handover requirement</w:t>
      </w:r>
    </w:p>
    <w:p w14:paraId="30CFBA8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Specifically,</w:t>
      </w:r>
    </w:p>
    <w:p w14:paraId="7E69B887">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vertAlign w:val="baseline"/>
          <w:lang w:val="en-US" w:eastAsia="zh-CN"/>
        </w:rPr>
      </w:pPr>
      <w:r>
        <w:rPr>
          <w:rFonts w:hint="eastAsia"/>
          <w:sz w:val="20"/>
          <w:szCs w:val="20"/>
          <w:lang w:val="en-US" w:eastAsia="zh-CN"/>
        </w:rPr>
        <w:t xml:space="preserve">For inter-frequency measurement requirement on NTN carriers, the only difference between it and inter-frequency measurement in NTN network is UE GNSS may be switched OFF before the first time of NTN carrier measurement. Hence, the NR inter-frequency measurements for SAN requirement defined in 9.3C TS 38.133 can be reused as the baseline, with additional introducing the TTFF (Time To First Fix) to </w:t>
      </w:r>
      <w:r>
        <w:rPr>
          <w:sz w:val="20"/>
          <w:szCs w:val="20"/>
          <w:lang w:eastAsia="en-GB"/>
        </w:rPr>
        <w:t>T</w:t>
      </w:r>
      <w:r>
        <w:rPr>
          <w:sz w:val="20"/>
          <w:szCs w:val="20"/>
          <w:vertAlign w:val="subscript"/>
          <w:lang w:eastAsia="en-GB"/>
        </w:rPr>
        <w:t>identify_inter</w:t>
      </w:r>
      <w:r>
        <w:rPr>
          <w:rFonts w:hint="eastAsia"/>
          <w:sz w:val="20"/>
          <w:szCs w:val="20"/>
          <w:vertAlign w:val="baseline"/>
          <w:lang w:val="en-US" w:eastAsia="zh-CN"/>
        </w:rPr>
        <w:t>. For the definition of  TTFF (Time To First Fix), the T_GNSS defined in Rel-18 can be reused.</w:t>
      </w:r>
    </w:p>
    <w:p w14:paraId="26C24084">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sz w:val="20"/>
          <w:szCs w:val="20"/>
          <w:lang w:val="en-US" w:eastAsia="zh-CN"/>
        </w:rPr>
      </w:pPr>
      <w:r>
        <w:rPr>
          <w:rFonts w:hint="eastAsia"/>
          <w:sz w:val="20"/>
          <w:szCs w:val="20"/>
          <w:lang w:val="en-US" w:eastAsia="zh-CN"/>
        </w:rPr>
        <w:t>For NR FR1 to NR SAN FR1 handover, the only difference between it and NR SAN FR1 to NR SAN FR1 inter-frequency handover is UE GNSS may be switched OFF in unknown case. Hence, the inter-frequency NR SAN FR1 - NR SAN FR1 handover requirement defined in 6.1C.1.2 TS 38.133 can be reused as the baseline, with additional introducing the TTFF (Time To First Fix) to D</w:t>
      </w:r>
      <w:r>
        <w:rPr>
          <w:rFonts w:hint="eastAsia"/>
          <w:sz w:val="20"/>
          <w:szCs w:val="20"/>
          <w:vertAlign w:val="subscript"/>
          <w:lang w:val="en-US" w:eastAsia="zh-CN"/>
        </w:rPr>
        <w:t>handover</w:t>
      </w:r>
      <w:r>
        <w:rPr>
          <w:rFonts w:hint="eastAsia"/>
          <w:sz w:val="20"/>
          <w:szCs w:val="20"/>
          <w:vertAlign w:val="baseline"/>
          <w:lang w:val="en-US" w:eastAsia="zh-CN"/>
        </w:rPr>
        <w:t>. For the definition of TTFF (Time To First Fix), the T_GNSS defined in Rel-18 can be reused.</w:t>
      </w:r>
    </w:p>
    <w:p w14:paraId="0C4CE06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Introduce following requirements to support TN to NTN handover from Rel-18:</w:t>
      </w:r>
    </w:p>
    <w:p w14:paraId="60DB96F4">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Inter-frequency measurement on NTN carriers</w:t>
      </w:r>
    </w:p>
    <w:p w14:paraId="5AA41CF0">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Take the NR inter-frequency measurements for SAN requirement defined in 9.3C</w:t>
      </w:r>
      <w:r>
        <w:rPr>
          <w:rFonts w:hint="eastAsia"/>
          <w:b/>
          <w:bCs/>
          <w:i/>
          <w:iCs/>
          <w:sz w:val="20"/>
          <w:szCs w:val="20"/>
          <w:lang w:val="en-US" w:eastAsia="zh-CN"/>
        </w:rPr>
        <w:t xml:space="preserve"> TS 38.133</w:t>
      </w:r>
      <w:r>
        <w:rPr>
          <w:rFonts w:hint="eastAsia" w:cs="Times New Roman"/>
          <w:b/>
          <w:bCs/>
          <w:i/>
          <w:iCs/>
          <w:sz w:val="20"/>
          <w:szCs w:val="20"/>
          <w:lang w:val="en-US" w:eastAsia="zh-CN"/>
        </w:rPr>
        <w:t xml:space="preserve"> as the baseline, with additional introducing T_GNSS (TTFF, Time To First Fix) to T</w:t>
      </w:r>
      <w:r>
        <w:rPr>
          <w:rFonts w:hint="eastAsia" w:cs="Times New Roman"/>
          <w:b/>
          <w:bCs/>
          <w:i/>
          <w:iCs/>
          <w:sz w:val="20"/>
          <w:szCs w:val="20"/>
          <w:vertAlign w:val="subscript"/>
          <w:lang w:val="en-US" w:eastAsia="zh-CN"/>
        </w:rPr>
        <w:t>identify_inter</w:t>
      </w:r>
      <w:r>
        <w:rPr>
          <w:rFonts w:hint="eastAsia" w:cs="Times New Roman"/>
          <w:b/>
          <w:bCs/>
          <w:i/>
          <w:iCs/>
          <w:sz w:val="20"/>
          <w:szCs w:val="20"/>
          <w:lang w:val="en-US" w:eastAsia="zh-CN"/>
        </w:rPr>
        <w:t>.</w:t>
      </w:r>
    </w:p>
    <w:p w14:paraId="1C0BB96F">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NR FR1 to NR SAN FR1 handover requirement</w:t>
      </w:r>
    </w:p>
    <w:p w14:paraId="1737C843">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Take the inter-frequency NR SAN FR1 - NR SAN FR1 handover requirement defined in 6.1C.1.2</w:t>
      </w:r>
      <w:r>
        <w:rPr>
          <w:rFonts w:hint="eastAsia"/>
          <w:b/>
          <w:bCs/>
          <w:i/>
          <w:iCs/>
          <w:sz w:val="20"/>
          <w:szCs w:val="20"/>
          <w:lang w:val="en-US" w:eastAsia="zh-CN"/>
        </w:rPr>
        <w:t xml:space="preserve"> TS 38.133</w:t>
      </w:r>
      <w:r>
        <w:rPr>
          <w:rFonts w:hint="eastAsia" w:cs="Times New Roman"/>
          <w:b/>
          <w:bCs/>
          <w:i/>
          <w:iCs/>
          <w:sz w:val="20"/>
          <w:szCs w:val="20"/>
          <w:lang w:val="en-US" w:eastAsia="zh-CN"/>
        </w:rPr>
        <w:t xml:space="preserve"> as the baseline, with 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w:t>
      </w:r>
    </w:p>
    <w:p w14:paraId="1F38364D">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7"/>
      <w:bookmarkEnd w:id="8"/>
    </w:p>
    <w:p w14:paraId="4FFF4CF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procedures and signalling for RSRP based NR FR1 TN-to-NTN handover and NR FR1 NTN-to-TN handover have been supported since Rel-17.</w:t>
      </w:r>
    </w:p>
    <w:p w14:paraId="582606C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2: There is strong commercial demand for NR FR1 TN-to-NTN handover and NR FR1 NTN-to-TN handover requirement to accelerate the NTN deployment and application.</w:t>
      </w:r>
    </w:p>
    <w:p w14:paraId="4E1FC7B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RAN4 to introduce the handover related requirements between TN and NTN (both TN-to-NTN and NTN-to-TN) in RRC_CONNECTED from Rel-18.</w:t>
      </w:r>
    </w:p>
    <w:p w14:paraId="430CF8A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the L3 measurement for handover purpose, limit the L3 inter-frequency measurement to the carrier frequency of target network, which can be achieved by network configuration implementation.</w:t>
      </w:r>
    </w:p>
    <w:p w14:paraId="331D171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Introduce following requirements to support NTN to TN handover from Rel-18:</w:t>
      </w:r>
    </w:p>
    <w:p w14:paraId="0621C3A0">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Inter-frequency measurement on TN carriers</w:t>
      </w:r>
    </w:p>
    <w:p w14:paraId="1EB6CD7D">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Reuse the NR FR1 inter-frequency measurements requirement defined in 9.3 </w:t>
      </w:r>
      <w:r>
        <w:rPr>
          <w:rFonts w:hint="eastAsia"/>
          <w:b/>
          <w:bCs/>
          <w:i/>
          <w:iCs/>
          <w:sz w:val="20"/>
          <w:szCs w:val="20"/>
          <w:lang w:val="en-US" w:eastAsia="zh-CN"/>
        </w:rPr>
        <w:t>TS 38.133</w:t>
      </w:r>
    </w:p>
    <w:p w14:paraId="3CB47CA4">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NR SAN FR1 to NR FR1 handover requirement</w:t>
      </w:r>
    </w:p>
    <w:p w14:paraId="08D59180">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Reuse the inter-frequency NR FR1 - NR FR1 Handover requirement defined in 6.1.1.2</w:t>
      </w:r>
      <w:r>
        <w:rPr>
          <w:rFonts w:hint="eastAsia"/>
          <w:b/>
          <w:bCs/>
          <w:i/>
          <w:iCs/>
          <w:sz w:val="20"/>
          <w:szCs w:val="20"/>
          <w:lang w:val="en-US" w:eastAsia="zh-CN"/>
        </w:rPr>
        <w:t xml:space="preserve"> TS 38.133</w:t>
      </w:r>
    </w:p>
    <w:p w14:paraId="43C0E93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Introduce following requirements to support TN to NTN handover from Rel-18:</w:t>
      </w:r>
    </w:p>
    <w:p w14:paraId="557CCC89">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Inter-frequency measurement on NTN carriers</w:t>
      </w:r>
    </w:p>
    <w:p w14:paraId="040DF098">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Take the NR inter-frequency measurements for SAN requirement defined in 9.3C</w:t>
      </w:r>
      <w:r>
        <w:rPr>
          <w:rFonts w:hint="eastAsia"/>
          <w:b/>
          <w:bCs/>
          <w:i/>
          <w:iCs/>
          <w:sz w:val="20"/>
          <w:szCs w:val="20"/>
          <w:lang w:val="en-US" w:eastAsia="zh-CN"/>
        </w:rPr>
        <w:t xml:space="preserve"> TS 38.133</w:t>
      </w:r>
      <w:r>
        <w:rPr>
          <w:rFonts w:hint="eastAsia" w:cs="Times New Roman"/>
          <w:b/>
          <w:bCs/>
          <w:i/>
          <w:iCs/>
          <w:sz w:val="20"/>
          <w:szCs w:val="20"/>
          <w:lang w:val="en-US" w:eastAsia="zh-CN"/>
        </w:rPr>
        <w:t xml:space="preserve"> as the baseline, with additional introducing T_GNSS (TTFF, Time To First Fix) to T</w:t>
      </w:r>
      <w:r>
        <w:rPr>
          <w:rFonts w:hint="eastAsia" w:cs="Times New Roman"/>
          <w:b/>
          <w:bCs/>
          <w:i/>
          <w:iCs/>
          <w:sz w:val="20"/>
          <w:szCs w:val="20"/>
          <w:vertAlign w:val="subscript"/>
          <w:lang w:val="en-US" w:eastAsia="zh-CN"/>
        </w:rPr>
        <w:t>identify_inter</w:t>
      </w:r>
      <w:r>
        <w:rPr>
          <w:rFonts w:hint="eastAsia" w:cs="Times New Roman"/>
          <w:b/>
          <w:bCs/>
          <w:i/>
          <w:iCs/>
          <w:sz w:val="20"/>
          <w:szCs w:val="20"/>
          <w:lang w:val="en-US" w:eastAsia="zh-CN"/>
        </w:rPr>
        <w:t>.</w:t>
      </w:r>
    </w:p>
    <w:p w14:paraId="386BB113">
      <w:pPr>
        <w:keepNext w:val="0"/>
        <w:keepLines w:val="0"/>
        <w:pageBreakBefore w:val="0"/>
        <w:widowControl/>
        <w:numPr>
          <w:ilvl w:val="0"/>
          <w:numId w:val="7"/>
        </w:numPr>
        <w:tabs>
          <w:tab w:val="left" w:pos="420"/>
          <w:tab w:val="left" w:pos="1134"/>
        </w:tabs>
        <w:kinsoku/>
        <w:wordWrap/>
        <w:overflowPunct/>
        <w:topLinePunct w:val="0"/>
        <w:autoSpaceDE/>
        <w:autoSpaceDN/>
        <w:bidi w:val="0"/>
        <w:adjustRightInd/>
        <w:snapToGrid/>
        <w:spacing w:before="60" w:after="60" w:line="240" w:lineRule="auto"/>
        <w:ind w:left="400" w:leftChars="0" w:hanging="400" w:hangingChars="20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NR FR1 to NR SAN FR1 handover requirement</w:t>
      </w:r>
    </w:p>
    <w:p w14:paraId="3DE99988">
      <w:pPr>
        <w:keepNext w:val="0"/>
        <w:keepLines w:val="0"/>
        <w:pageBreakBefore w:val="0"/>
        <w:widowControl/>
        <w:numPr>
          <w:ilvl w:val="1"/>
          <w:numId w:val="7"/>
        </w:numPr>
        <w:tabs>
          <w:tab w:val="left" w:pos="420"/>
          <w:tab w:val="left" w:pos="1134"/>
        </w:tabs>
        <w:kinsoku/>
        <w:wordWrap/>
        <w:overflowPunct/>
        <w:topLinePunct w:val="0"/>
        <w:autoSpaceDE/>
        <w:autoSpaceDN/>
        <w:bidi w:val="0"/>
        <w:adjustRightInd/>
        <w:snapToGrid/>
        <w:spacing w:before="60" w:after="60" w:line="240" w:lineRule="auto"/>
        <w:ind w:left="880" w:leftChars="200" w:hanging="400" w:hangingChars="20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Take the inter-frequency NR SAN FR1 - NR SAN FR1 handover requirement defined in 6.1C.1.2</w:t>
      </w:r>
      <w:r>
        <w:rPr>
          <w:rFonts w:hint="eastAsia"/>
          <w:b/>
          <w:bCs/>
          <w:i/>
          <w:iCs/>
          <w:sz w:val="20"/>
          <w:szCs w:val="20"/>
          <w:lang w:val="en-US" w:eastAsia="zh-CN"/>
        </w:rPr>
        <w:t xml:space="preserve"> TS 38.133</w:t>
      </w:r>
      <w:r>
        <w:rPr>
          <w:rFonts w:hint="eastAsia" w:cs="Times New Roman"/>
          <w:b/>
          <w:bCs/>
          <w:i/>
          <w:iCs/>
          <w:sz w:val="20"/>
          <w:szCs w:val="20"/>
          <w:lang w:val="en-US" w:eastAsia="zh-CN"/>
        </w:rPr>
        <w:t xml:space="preserve"> as the baseline, with additional introducing T_GNSS (TTFF, Time To First Fix) to </w:t>
      </w:r>
      <w:r>
        <w:rPr>
          <w:rFonts w:hint="eastAsia"/>
          <w:b/>
          <w:bCs/>
          <w:i/>
          <w:iCs/>
          <w:sz w:val="20"/>
          <w:szCs w:val="20"/>
          <w:lang w:val="en-US" w:eastAsia="zh-CN"/>
        </w:rPr>
        <w:t>D</w:t>
      </w:r>
      <w:r>
        <w:rPr>
          <w:rFonts w:hint="eastAsia"/>
          <w:b/>
          <w:bCs/>
          <w:i/>
          <w:iCs/>
          <w:sz w:val="20"/>
          <w:szCs w:val="20"/>
          <w:vertAlign w:val="subscript"/>
          <w:lang w:val="en-US" w:eastAsia="zh-CN"/>
        </w:rPr>
        <w:t>handover</w:t>
      </w:r>
      <w:r>
        <w:rPr>
          <w:rFonts w:hint="eastAsia"/>
          <w:b/>
          <w:bCs/>
          <w:i/>
          <w:iCs/>
          <w:sz w:val="20"/>
          <w:szCs w:val="20"/>
          <w:vertAlign w:val="baseline"/>
          <w:lang w:val="en-US" w:eastAsia="zh-CN"/>
        </w:rPr>
        <w:t xml:space="preserve"> in unknown case</w:t>
      </w:r>
      <w:r>
        <w:rPr>
          <w:rFonts w:hint="eastAsia" w:cs="Times New Roman"/>
          <w:b/>
          <w:bCs/>
          <w:i/>
          <w:iCs/>
          <w:sz w:val="20"/>
          <w:szCs w:val="20"/>
          <w:lang w:val="en-US" w:eastAsia="zh-CN"/>
        </w:rPr>
        <w:t>.</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4340F8A">
      <w:pPr>
        <w:numPr>
          <w:ilvl w:val="0"/>
          <w:numId w:val="8"/>
        </w:numPr>
        <w:rPr>
          <w:rFonts w:hint="default"/>
          <w:sz w:val="20"/>
          <w:szCs w:val="20"/>
          <w:lang w:val="en-US" w:eastAsia="zh-CN"/>
        </w:rPr>
      </w:pPr>
      <w:r>
        <w:rPr>
          <w:rFonts w:hint="eastAsia"/>
          <w:sz w:val="20"/>
          <w:szCs w:val="20"/>
          <w:lang w:val="en-US" w:eastAsia="zh-CN"/>
        </w:rPr>
        <w:t>RP-220208, Solutions for NR to support non-terrestrial networks (NTN), Thales</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C6986B"/>
    <w:multiLevelType w:val="multilevel"/>
    <w:tmpl w:val="AEC698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842A911"/>
    <w:multiLevelType w:val="singleLevel"/>
    <w:tmpl w:val="F842A911"/>
    <w:lvl w:ilvl="0" w:tentative="0">
      <w:start w:val="1"/>
      <w:numFmt w:val="decimal"/>
      <w:suff w:val="space"/>
      <w:lvlText w:val="[%1]"/>
      <w:lvlJc w:val="left"/>
    </w:lvl>
  </w:abstractNum>
  <w:abstractNum w:abstractNumId="2">
    <w:nsid w:val="16B79BB0"/>
    <w:multiLevelType w:val="singleLevel"/>
    <w:tmpl w:val="16B79BB0"/>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25079139"/>
    <w:multiLevelType w:val="singleLevel"/>
    <w:tmpl w:val="25079139"/>
    <w:lvl w:ilvl="0" w:tentative="0">
      <w:start w:val="1"/>
      <w:numFmt w:val="bullet"/>
      <w:lvlText w:val=""/>
      <w:lvlJc w:val="left"/>
      <w:pPr>
        <w:ind w:left="42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A5B8736"/>
    <w:multiLevelType w:val="singleLevel"/>
    <w:tmpl w:val="4A5B8736"/>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6">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4"/>
  </w:num>
  <w:num w:numId="4">
    <w:abstractNumId w:val="5"/>
  </w:num>
  <w:num w:numId="5">
    <w:abstractNumId w:val="3"/>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1C5"/>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11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1B2D5D"/>
    <w:rsid w:val="014164CB"/>
    <w:rsid w:val="01F7606B"/>
    <w:rsid w:val="0230623E"/>
    <w:rsid w:val="02931FE6"/>
    <w:rsid w:val="02FC3273"/>
    <w:rsid w:val="035A7DA4"/>
    <w:rsid w:val="035B4927"/>
    <w:rsid w:val="03D25EE7"/>
    <w:rsid w:val="042B3615"/>
    <w:rsid w:val="04D7108D"/>
    <w:rsid w:val="05F12C7D"/>
    <w:rsid w:val="06570915"/>
    <w:rsid w:val="06605382"/>
    <w:rsid w:val="08075896"/>
    <w:rsid w:val="081E4B5F"/>
    <w:rsid w:val="086548D6"/>
    <w:rsid w:val="09476676"/>
    <w:rsid w:val="0A505D0B"/>
    <w:rsid w:val="0ADA3E79"/>
    <w:rsid w:val="0D032256"/>
    <w:rsid w:val="0D0A423F"/>
    <w:rsid w:val="0D1371F8"/>
    <w:rsid w:val="0E3E3158"/>
    <w:rsid w:val="0E641075"/>
    <w:rsid w:val="0F132237"/>
    <w:rsid w:val="0F992464"/>
    <w:rsid w:val="0FF80280"/>
    <w:rsid w:val="11E23F6D"/>
    <w:rsid w:val="120A163A"/>
    <w:rsid w:val="1210079C"/>
    <w:rsid w:val="12F30903"/>
    <w:rsid w:val="13CC7FD9"/>
    <w:rsid w:val="13EC65E4"/>
    <w:rsid w:val="144B2A9A"/>
    <w:rsid w:val="153D7E2E"/>
    <w:rsid w:val="15913B28"/>
    <w:rsid w:val="164761D8"/>
    <w:rsid w:val="16AA7A17"/>
    <w:rsid w:val="17B408CA"/>
    <w:rsid w:val="184D0C01"/>
    <w:rsid w:val="192C3331"/>
    <w:rsid w:val="192C6BE3"/>
    <w:rsid w:val="198219B6"/>
    <w:rsid w:val="19CB14DE"/>
    <w:rsid w:val="1A546CA1"/>
    <w:rsid w:val="1C37351D"/>
    <w:rsid w:val="1C6D705C"/>
    <w:rsid w:val="1E161E6D"/>
    <w:rsid w:val="1E5F4E13"/>
    <w:rsid w:val="1E927A09"/>
    <w:rsid w:val="1ED75440"/>
    <w:rsid w:val="1F8179F1"/>
    <w:rsid w:val="1F9B60E3"/>
    <w:rsid w:val="1FDC52D2"/>
    <w:rsid w:val="201F15A8"/>
    <w:rsid w:val="20C10ECF"/>
    <w:rsid w:val="20FD7158"/>
    <w:rsid w:val="212A5BF7"/>
    <w:rsid w:val="214E32DC"/>
    <w:rsid w:val="21554EB3"/>
    <w:rsid w:val="2175014D"/>
    <w:rsid w:val="21F121F3"/>
    <w:rsid w:val="228429B1"/>
    <w:rsid w:val="23B166E4"/>
    <w:rsid w:val="23F14F77"/>
    <w:rsid w:val="2405092E"/>
    <w:rsid w:val="257025E8"/>
    <w:rsid w:val="259D69A4"/>
    <w:rsid w:val="263138B3"/>
    <w:rsid w:val="275E5E32"/>
    <w:rsid w:val="27C95B2A"/>
    <w:rsid w:val="280023AD"/>
    <w:rsid w:val="282019FF"/>
    <w:rsid w:val="2859589A"/>
    <w:rsid w:val="28DB6428"/>
    <w:rsid w:val="2AEA636D"/>
    <w:rsid w:val="2AF93390"/>
    <w:rsid w:val="2B0261E0"/>
    <w:rsid w:val="2C6C776D"/>
    <w:rsid w:val="2C80030E"/>
    <w:rsid w:val="2CC159F7"/>
    <w:rsid w:val="2CC81F3C"/>
    <w:rsid w:val="2D78620C"/>
    <w:rsid w:val="2D95698D"/>
    <w:rsid w:val="2E084D35"/>
    <w:rsid w:val="2E4610EE"/>
    <w:rsid w:val="2E5E5359"/>
    <w:rsid w:val="2F2910E0"/>
    <w:rsid w:val="2F374034"/>
    <w:rsid w:val="2F805E70"/>
    <w:rsid w:val="2FFF7961"/>
    <w:rsid w:val="309C78ED"/>
    <w:rsid w:val="30F57F75"/>
    <w:rsid w:val="320937D5"/>
    <w:rsid w:val="337178ED"/>
    <w:rsid w:val="34493A89"/>
    <w:rsid w:val="34DD776E"/>
    <w:rsid w:val="35942C8A"/>
    <w:rsid w:val="36C642EA"/>
    <w:rsid w:val="383A6905"/>
    <w:rsid w:val="384214BD"/>
    <w:rsid w:val="38847406"/>
    <w:rsid w:val="389B67A0"/>
    <w:rsid w:val="397C09EC"/>
    <w:rsid w:val="3A352F23"/>
    <w:rsid w:val="3B762569"/>
    <w:rsid w:val="3D067AEF"/>
    <w:rsid w:val="3D690AAE"/>
    <w:rsid w:val="3F060C31"/>
    <w:rsid w:val="3F0D4519"/>
    <w:rsid w:val="3FAA4C66"/>
    <w:rsid w:val="3FDB607F"/>
    <w:rsid w:val="40A179BD"/>
    <w:rsid w:val="43091738"/>
    <w:rsid w:val="448501F9"/>
    <w:rsid w:val="44A9287E"/>
    <w:rsid w:val="46725C25"/>
    <w:rsid w:val="47193EBD"/>
    <w:rsid w:val="47D3399F"/>
    <w:rsid w:val="483A3B0D"/>
    <w:rsid w:val="48813FCC"/>
    <w:rsid w:val="48A46B3F"/>
    <w:rsid w:val="48ED7B84"/>
    <w:rsid w:val="490254F1"/>
    <w:rsid w:val="49D52D0E"/>
    <w:rsid w:val="4A5C4BD9"/>
    <w:rsid w:val="4A6864F1"/>
    <w:rsid w:val="4AF749DA"/>
    <w:rsid w:val="4B1E7F9E"/>
    <w:rsid w:val="4CDE269A"/>
    <w:rsid w:val="4D8C1C84"/>
    <w:rsid w:val="4DD74054"/>
    <w:rsid w:val="4ECF7042"/>
    <w:rsid w:val="4FC646E7"/>
    <w:rsid w:val="4FCF6264"/>
    <w:rsid w:val="50FD4EB2"/>
    <w:rsid w:val="51274749"/>
    <w:rsid w:val="51633A66"/>
    <w:rsid w:val="51B15AA6"/>
    <w:rsid w:val="51DD0764"/>
    <w:rsid w:val="52347B6B"/>
    <w:rsid w:val="52D73516"/>
    <w:rsid w:val="54083211"/>
    <w:rsid w:val="540D0E31"/>
    <w:rsid w:val="54441280"/>
    <w:rsid w:val="56755C36"/>
    <w:rsid w:val="56B83636"/>
    <w:rsid w:val="56FA16B6"/>
    <w:rsid w:val="576808B3"/>
    <w:rsid w:val="58183FA6"/>
    <w:rsid w:val="581D6CB6"/>
    <w:rsid w:val="582E0B79"/>
    <w:rsid w:val="58931ED3"/>
    <w:rsid w:val="5BD528E1"/>
    <w:rsid w:val="5C7C39DE"/>
    <w:rsid w:val="5D497818"/>
    <w:rsid w:val="5DC02305"/>
    <w:rsid w:val="5E2514CE"/>
    <w:rsid w:val="5E646CF6"/>
    <w:rsid w:val="5EE03BF7"/>
    <w:rsid w:val="5EE8777B"/>
    <w:rsid w:val="63E8059D"/>
    <w:rsid w:val="64A75ECB"/>
    <w:rsid w:val="64D70914"/>
    <w:rsid w:val="65CC56BC"/>
    <w:rsid w:val="66051E04"/>
    <w:rsid w:val="67316E6D"/>
    <w:rsid w:val="67EE33DD"/>
    <w:rsid w:val="67F22E38"/>
    <w:rsid w:val="68171EE4"/>
    <w:rsid w:val="682458D3"/>
    <w:rsid w:val="68713E0D"/>
    <w:rsid w:val="687B237D"/>
    <w:rsid w:val="68E4149F"/>
    <w:rsid w:val="69B92763"/>
    <w:rsid w:val="69F32ED2"/>
    <w:rsid w:val="6A24489F"/>
    <w:rsid w:val="6A2F2BD9"/>
    <w:rsid w:val="6ACE31F6"/>
    <w:rsid w:val="6BCF01C2"/>
    <w:rsid w:val="6D1B5309"/>
    <w:rsid w:val="6D281999"/>
    <w:rsid w:val="6D772419"/>
    <w:rsid w:val="6DE17C72"/>
    <w:rsid w:val="6DE31A16"/>
    <w:rsid w:val="6F823A3A"/>
    <w:rsid w:val="6FDA6912"/>
    <w:rsid w:val="6FDF59B6"/>
    <w:rsid w:val="70043D97"/>
    <w:rsid w:val="70B73B88"/>
    <w:rsid w:val="712E29AD"/>
    <w:rsid w:val="71A209D2"/>
    <w:rsid w:val="71B27535"/>
    <w:rsid w:val="726008A3"/>
    <w:rsid w:val="72726862"/>
    <w:rsid w:val="72933214"/>
    <w:rsid w:val="72973F2C"/>
    <w:rsid w:val="76DE2F21"/>
    <w:rsid w:val="76EA69C7"/>
    <w:rsid w:val="77904588"/>
    <w:rsid w:val="77C53557"/>
    <w:rsid w:val="77E138BA"/>
    <w:rsid w:val="782515C0"/>
    <w:rsid w:val="78BA5FB5"/>
    <w:rsid w:val="790A1F5F"/>
    <w:rsid w:val="797A48CF"/>
    <w:rsid w:val="79811835"/>
    <w:rsid w:val="79A43C1B"/>
    <w:rsid w:val="7A452CA6"/>
    <w:rsid w:val="7A8525A0"/>
    <w:rsid w:val="7A934395"/>
    <w:rsid w:val="7B5C7CAB"/>
    <w:rsid w:val="7B9A4DB4"/>
    <w:rsid w:val="7C240EF5"/>
    <w:rsid w:val="7CA663AA"/>
    <w:rsid w:val="7D020E51"/>
    <w:rsid w:val="7D865082"/>
    <w:rsid w:val="7E1008D3"/>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table" w:customStyle="1" w:styleId="87">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1418</Words>
  <Characters>8085</Characters>
  <Lines>67</Lines>
  <Paragraphs>18</Paragraphs>
  <TotalTime>7</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2026-01-30T15:50:56Z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6D7FC512EC1B407B94807F8DFA27ADE7_13</vt:lpwstr>
  </property>
</Properties>
</file>